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CF334" w14:textId="77777777" w:rsidR="004B4600" w:rsidRPr="00110DE6" w:rsidRDefault="004B4600" w:rsidP="004B460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110DE6">
        <w:rPr>
          <w:rFonts w:asciiTheme="minorHAnsi" w:hAnsiTheme="minorHAnsi" w:cstheme="minorHAnsi"/>
          <w:sz w:val="24"/>
          <w:szCs w:val="24"/>
          <w:lang w:val="sr-Cyrl-RS"/>
        </w:rPr>
        <w:t>Јавно предавање</w:t>
      </w:r>
    </w:p>
    <w:p w14:paraId="5E4ACDE8" w14:textId="77777777" w:rsidR="004B4600" w:rsidRPr="00110DE6" w:rsidRDefault="004B4600" w:rsidP="004B4600">
      <w:pPr>
        <w:spacing w:after="0" w:line="240" w:lineRule="auto"/>
        <w:jc w:val="center"/>
        <w:rPr>
          <w:rFonts w:asciiTheme="minorHAnsi" w:hAnsiTheme="minorHAnsi" w:cstheme="minorHAnsi"/>
          <w:color w:val="C00000"/>
          <w:sz w:val="24"/>
          <w:szCs w:val="24"/>
          <w:lang w:val="sr-Cyrl-RS"/>
        </w:rPr>
      </w:pPr>
      <w:r w:rsidRPr="00110DE6">
        <w:rPr>
          <w:rFonts w:asciiTheme="minorHAnsi" w:hAnsiTheme="minorHAnsi" w:cstheme="minorHAnsi"/>
          <w:color w:val="C00000"/>
          <w:sz w:val="24"/>
          <w:szCs w:val="24"/>
          <w:lang w:val="sr-Cyrl-RS"/>
        </w:rPr>
        <w:t xml:space="preserve">НЕКИ ОТВОРЕНИ ПРОБЛЕМИ И НАПРЕЦИ </w:t>
      </w:r>
    </w:p>
    <w:p w14:paraId="76CA2A13" w14:textId="77777777" w:rsidR="004B4600" w:rsidRPr="00110DE6" w:rsidRDefault="004B4600" w:rsidP="004B4600">
      <w:pPr>
        <w:spacing w:after="0" w:line="240" w:lineRule="auto"/>
        <w:jc w:val="center"/>
        <w:rPr>
          <w:rFonts w:asciiTheme="minorHAnsi" w:hAnsiTheme="minorHAnsi" w:cstheme="minorHAnsi"/>
          <w:color w:val="C00000"/>
          <w:sz w:val="24"/>
          <w:szCs w:val="24"/>
          <w:lang w:val="sr-Cyrl-RS"/>
        </w:rPr>
      </w:pPr>
      <w:r w:rsidRPr="00110DE6">
        <w:rPr>
          <w:rFonts w:asciiTheme="minorHAnsi" w:hAnsiTheme="minorHAnsi" w:cstheme="minorHAnsi"/>
          <w:color w:val="C00000"/>
          <w:sz w:val="24"/>
          <w:szCs w:val="24"/>
          <w:lang w:val="sr-Cyrl-RS"/>
        </w:rPr>
        <w:t>У ИНФОРМАЦИОНОЈ БЕЗБЕДНОСТИ И БЛОКЧЕЈН ТЕХНОЛОГИЈИ</w:t>
      </w:r>
    </w:p>
    <w:p w14:paraId="44BD1137" w14:textId="77777777" w:rsidR="004B4600" w:rsidRPr="00110DE6" w:rsidRDefault="004B4600" w:rsidP="004B460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110DE6">
        <w:rPr>
          <w:rFonts w:asciiTheme="minorHAnsi" w:hAnsiTheme="minorHAnsi" w:cstheme="minorHAnsi"/>
          <w:sz w:val="24"/>
          <w:szCs w:val="24"/>
          <w:lang w:val="sr-Cyrl-RS"/>
        </w:rPr>
        <w:t>Дописни члан САНУ Миодраг Михаљевић</w:t>
      </w:r>
    </w:p>
    <w:p w14:paraId="244A3DA1" w14:textId="77777777" w:rsidR="004B4600" w:rsidRPr="00110DE6" w:rsidRDefault="004B4600" w:rsidP="004B460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110DE6">
        <w:rPr>
          <w:rFonts w:asciiTheme="minorHAnsi" w:hAnsiTheme="minorHAnsi" w:cstheme="minorHAnsi"/>
          <w:sz w:val="24"/>
          <w:szCs w:val="24"/>
          <w:lang w:val="sr-Cyrl-RS"/>
        </w:rPr>
        <w:t xml:space="preserve">Четвртак, </w:t>
      </w:r>
      <w:r w:rsidRPr="00110DE6">
        <w:rPr>
          <w:rFonts w:asciiTheme="minorHAnsi" w:hAnsiTheme="minorHAnsi" w:cstheme="minorHAnsi"/>
          <w:sz w:val="24"/>
          <w:szCs w:val="24"/>
        </w:rPr>
        <w:t>24</w:t>
      </w:r>
      <w:r w:rsidRPr="00110DE6">
        <w:rPr>
          <w:rFonts w:asciiTheme="minorHAnsi" w:hAnsiTheme="minorHAnsi" w:cstheme="minorHAnsi"/>
          <w:sz w:val="24"/>
          <w:szCs w:val="24"/>
          <w:lang w:val="sr-Cyrl-RS"/>
        </w:rPr>
        <w:t>. новембар, 12 сати</w:t>
      </w:r>
    </w:p>
    <w:p w14:paraId="4F2B0A60" w14:textId="77777777" w:rsidR="004B4600" w:rsidRPr="00110DE6" w:rsidRDefault="004B4600" w:rsidP="004B4600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sr-Cyrl-RS"/>
        </w:rPr>
      </w:pPr>
      <w:r w:rsidRPr="00110DE6">
        <w:rPr>
          <w:rFonts w:asciiTheme="minorHAnsi" w:hAnsiTheme="minorHAnsi" w:cstheme="minorHAnsi"/>
          <w:sz w:val="24"/>
          <w:szCs w:val="24"/>
          <w:lang w:val="sr-Cyrl-RS"/>
        </w:rPr>
        <w:t>Мултимедијална сала Универзитета у Нишу</w:t>
      </w:r>
    </w:p>
    <w:p w14:paraId="35A8B4C3" w14:textId="0B4FB1C1" w:rsidR="00D91109" w:rsidRPr="00110DE6" w:rsidRDefault="00D91109">
      <w:pPr>
        <w:rPr>
          <w:rFonts w:asciiTheme="minorHAnsi" w:hAnsiTheme="minorHAnsi" w:cstheme="minorHAnsi"/>
          <w:sz w:val="24"/>
          <w:szCs w:val="24"/>
        </w:rPr>
      </w:pPr>
    </w:p>
    <w:p w14:paraId="46BE63E0" w14:textId="77777777" w:rsidR="004B4600" w:rsidRPr="00EC1036" w:rsidRDefault="004B4600" w:rsidP="004B4600">
      <w:pPr>
        <w:spacing w:after="0" w:line="240" w:lineRule="auto"/>
        <w:ind w:left="720"/>
        <w:jc w:val="center"/>
        <w:rPr>
          <w:rFonts w:asciiTheme="minorHAnsi" w:eastAsia="Times New Roman" w:hAnsiTheme="minorHAnsi" w:cstheme="minorHAnsi"/>
          <w:b/>
          <w:i/>
          <w:iCs/>
          <w:color w:val="26282A"/>
          <w:sz w:val="28"/>
          <w:szCs w:val="28"/>
          <w:lang w:val="sr-Cyrl-RS"/>
        </w:rPr>
      </w:pPr>
      <w:bookmarkStart w:id="0" w:name="_GoBack"/>
      <w:bookmarkEnd w:id="0"/>
      <w:r w:rsidRPr="00EC1036">
        <w:rPr>
          <w:rFonts w:asciiTheme="minorHAnsi" w:eastAsia="Times New Roman" w:hAnsiTheme="minorHAnsi" w:cstheme="minorHAnsi"/>
          <w:b/>
          <w:i/>
          <w:iCs/>
          <w:color w:val="26282A"/>
          <w:sz w:val="28"/>
          <w:szCs w:val="28"/>
          <w:lang w:val="sr-Cyrl-RS"/>
        </w:rPr>
        <w:t>Сажетак</w:t>
      </w:r>
    </w:p>
    <w:p w14:paraId="1B8CCB0D" w14:textId="77777777" w:rsidR="004B4600" w:rsidRPr="00110DE6" w:rsidRDefault="004B4600" w:rsidP="00DC42CE">
      <w:pPr>
        <w:spacing w:after="0" w:line="240" w:lineRule="auto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</w:pPr>
    </w:p>
    <w:p w14:paraId="1888AA0F" w14:textId="2D8B365B" w:rsidR="004B4600" w:rsidRPr="00110DE6" w:rsidRDefault="004B4600" w:rsidP="004A5D36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</w:pP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Информационо-комуникационе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(ИКТ)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дигитални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(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сајбер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)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су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нераскидиво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повезани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нашим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физичким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тродимензионалним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Они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стално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проширују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пружају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нове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погодности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</w:p>
    <w:p w14:paraId="263711B0" w14:textId="14D4A9C1" w:rsidR="004A5D36" w:rsidRPr="00110DE6" w:rsidRDefault="004B4600" w:rsidP="004B4600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</w:pP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Блокчејн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информациона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безбедност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изузетно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битне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компоненте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ИКТ и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дигиталном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као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подршка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изузетно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великом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броју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активности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Механизми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информационе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безбедности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треба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омогуће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све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добробити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које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пружа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дигитални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постану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отворена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врата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злонамерне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активности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потенцијално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катастрофалним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последицама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. </w:t>
      </w:r>
      <w:r w:rsidR="00DC42CE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Стога је и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нформациона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безбедност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прва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линија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заштите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наше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приватности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</w:t>
      </w:r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сајбер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</w:p>
    <w:p w14:paraId="0360276C" w14:textId="5D5090EC" w:rsidR="004A5D36" w:rsidRPr="00110DE6" w:rsidRDefault="004B4600" w:rsidP="004A5D36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</w:pP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Блокчејн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прославила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њена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прва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широко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распрострањена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примена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,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крипто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валута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Биткоин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,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али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ова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неупоредиво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већег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значаја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од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њене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прве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општепознате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примене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.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отворила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могућности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нових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парадигми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дигиталном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простору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,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укључујући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дистрибуирану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верификацију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овлашћеног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верификатора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такозване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паметне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уговоре</w:t>
      </w:r>
      <w:proofErr w:type="spellEnd"/>
      <w:r w:rsidR="00110DE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,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који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отварају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нове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могућности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дигиталној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економији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.</w:t>
      </w:r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</w:p>
    <w:p w14:paraId="3B72188C" w14:textId="0A1B77D7" w:rsidR="004A5D36" w:rsidRPr="00110DE6" w:rsidRDefault="004B4600" w:rsidP="004A5D36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</w:pP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Сајбер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свакодневно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увећава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преплиће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нашим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реалним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тродимензионалним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простором</w:t>
      </w:r>
      <w:proofErr w:type="spellEnd"/>
      <w:r w:rsidR="00110DE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,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стварајући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што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данас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назива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Метаверзумом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–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овом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контексту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изузетно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увећава</w:t>
      </w:r>
      <w:proofErr w:type="spellEnd"/>
      <w:r w:rsidR="00110DE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ју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значај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садржаји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информационе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безбедности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блокчејн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</w:p>
    <w:p w14:paraId="1641F602" w14:textId="7EEA5874" w:rsidR="004A5D36" w:rsidRPr="00110DE6" w:rsidRDefault="004B4600" w:rsidP="004A5D36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</w:pP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Циљ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излагања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експертски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али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примерено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шир</w:t>
      </w:r>
      <w:proofErr w:type="spellEnd"/>
      <w:r w:rsidR="00110DE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ој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јавност</w:t>
      </w:r>
      <w:proofErr w:type="spellEnd"/>
      <w:r w:rsidR="00110DE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и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r w:rsid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у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каже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r w:rsid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на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илустративне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напретке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техникама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информациону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безбедност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</w:t>
      </w:r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блокчејн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r w:rsidR="00DC42CE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У предавању се и</w:t>
      </w:r>
      <w:r w:rsid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стиче</w:t>
      </w:r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један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од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кључних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изазова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техникама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истовремено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обезбеђивање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високе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сигурности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малог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додатног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64263B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надоп</w:t>
      </w:r>
      <w:r w:rsidRPr="001F2D9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</w:t>
      </w:r>
      <w:proofErr w:type="spellEnd"/>
      <w:r w:rsidR="001F2D96" w:rsidRPr="001F2D9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>е</w:t>
      </w:r>
      <w:proofErr w:type="spellStart"/>
      <w:r w:rsidRPr="001F2D9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ре</w:t>
      </w:r>
      <w:r w:rsidRPr="0064263B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ћења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Као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илустрација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напредака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домену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информационе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безбедности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указује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један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приступ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ојачавању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криптографске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сигурности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алгоритама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шифровања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ниске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имплементационе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сложености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применом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резултата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теорије</w:t>
      </w:r>
      <w:proofErr w:type="spellEnd"/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информација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кодова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</w:p>
    <w:p w14:paraId="43CC2351" w14:textId="598C9BE1" w:rsidR="004B4600" w:rsidRPr="00110DE6" w:rsidRDefault="004B4600" w:rsidP="004A5D36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</w:pP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Напреци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у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техникама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болкчејн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технологију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илуструју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приказом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једног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консензус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протокола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суштински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редукованом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енергетском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потрошњом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и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једног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приступа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алијансно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рударење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резистентног</w:t>
      </w:r>
      <w:proofErr w:type="spellEnd"/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на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одређене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 xml:space="preserve"> </w:t>
      </w:r>
      <w:proofErr w:type="spellStart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злоупотребе</w:t>
      </w:r>
      <w:proofErr w:type="spellEnd"/>
      <w:r w:rsidRPr="004B4600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</w:rPr>
        <w:t>.</w:t>
      </w:r>
      <w:r w:rsidR="004A5D36" w:rsidRPr="00110DE6">
        <w:rPr>
          <w:rFonts w:asciiTheme="minorHAnsi" w:eastAsia="Times New Roman" w:hAnsiTheme="minorHAnsi" w:cstheme="minorHAnsi"/>
          <w:color w:val="26282A"/>
          <w:sz w:val="24"/>
          <w:szCs w:val="24"/>
          <w:shd w:val="clear" w:color="auto" w:fill="FFFFFF"/>
          <w:lang w:val="sr-Cyrl-RS"/>
        </w:rPr>
        <w:t xml:space="preserve"> </w:t>
      </w:r>
    </w:p>
    <w:sectPr w:rsidR="004B4600" w:rsidRPr="00110DE6" w:rsidSect="00B25A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00"/>
    <w:rsid w:val="00110DE6"/>
    <w:rsid w:val="001F2D96"/>
    <w:rsid w:val="004A5D36"/>
    <w:rsid w:val="004B4600"/>
    <w:rsid w:val="0064263B"/>
    <w:rsid w:val="006A5F55"/>
    <w:rsid w:val="00D91109"/>
    <w:rsid w:val="00DC42CE"/>
    <w:rsid w:val="00EC1036"/>
    <w:rsid w:val="00FB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F49A"/>
  <w15:chartTrackingRefBased/>
  <w15:docId w15:val="{3972EF26-92A2-4437-8AAC-B6D54F9E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Zunic</dc:creator>
  <cp:keywords/>
  <dc:description/>
  <cp:lastModifiedBy>Andjelka</cp:lastModifiedBy>
  <cp:revision>5</cp:revision>
  <dcterms:created xsi:type="dcterms:W3CDTF">2022-11-15T07:53:00Z</dcterms:created>
  <dcterms:modified xsi:type="dcterms:W3CDTF">2022-11-15T09:01:00Z</dcterms:modified>
</cp:coreProperties>
</file>