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1"/>
      </w:tblGrid>
      <w:tr w:rsidR="007C637F" w:rsidRPr="007C637F" w:rsidTr="007C637F">
        <w:trPr>
          <w:trHeight w:val="323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C637F" w:rsidRPr="007C637F" w:rsidRDefault="007C637F" w:rsidP="007C6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7F">
              <w:rPr>
                <w:rFonts w:ascii="Times New Roman" w:eastAsia="Times New Roman" w:hAnsi="Times New Roman" w:cs="Times New Roman"/>
                <w:sz w:val="24"/>
                <w:szCs w:val="24"/>
              </w:rPr>
              <w:t>ODLUKA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637F">
              <w:rPr>
                <w:rFonts w:ascii="Times New Roman" w:eastAsia="Times New Roman" w:hAnsi="Times New Roman" w:cs="Times New Roman"/>
                <w:sz w:val="24"/>
                <w:szCs w:val="24"/>
              </w:rPr>
              <w:t>USTAVNOG SUDA</w:t>
            </w:r>
          </w:p>
          <w:p w:rsidR="007C637F" w:rsidRPr="007C637F" w:rsidRDefault="007C637F" w:rsidP="007C6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37F">
              <w:rPr>
                <w:rFonts w:ascii="Times New Roman" w:eastAsia="Times New Roman" w:hAnsi="Times New Roman" w:cs="Times New Roman"/>
                <w:sz w:val="24"/>
                <w:szCs w:val="24"/>
              </w:rPr>
              <w:t>("Sl. glasnik RS", br. 46/2019)</w:t>
            </w:r>
          </w:p>
        </w:tc>
      </w:tr>
      <w:tr w:rsidR="007C637F" w:rsidRPr="007C637F" w:rsidTr="007C637F">
        <w:trPr>
          <w:trHeight w:val="323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C637F" w:rsidRPr="007C637F" w:rsidRDefault="007C637F" w:rsidP="007C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637F" w:rsidRDefault="007C637F" w:rsidP="007C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637F" w:rsidRPr="007C637F" w:rsidRDefault="007C637F" w:rsidP="007C637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F">
        <w:rPr>
          <w:rFonts w:ascii="Times New Roman" w:eastAsia="Times New Roman" w:hAnsi="Times New Roman" w:cs="Times New Roman"/>
          <w:sz w:val="24"/>
          <w:szCs w:val="24"/>
        </w:rPr>
        <w:t>Ustavni sud, na osnovu člana 167. stav 1. tačka 1. Ustava Republike Srbije, na sednici održanoj 25. aprila 2019. godine, doneo je</w:t>
      </w:r>
    </w:p>
    <w:p w:rsidR="007C637F" w:rsidRPr="007C637F" w:rsidRDefault="007C637F" w:rsidP="007C6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637F">
        <w:rPr>
          <w:rFonts w:ascii="Times New Roman" w:eastAsia="Times New Roman" w:hAnsi="Times New Roman" w:cs="Times New Roman"/>
          <w:sz w:val="24"/>
          <w:szCs w:val="24"/>
        </w:rPr>
        <w:t>ODLUKU</w:t>
      </w:r>
    </w:p>
    <w:p w:rsidR="007C637F" w:rsidRPr="007C637F" w:rsidRDefault="007C637F" w:rsidP="007C637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F">
        <w:rPr>
          <w:rFonts w:ascii="Times New Roman" w:eastAsia="Times New Roman" w:hAnsi="Times New Roman" w:cs="Times New Roman"/>
          <w:sz w:val="24"/>
          <w:szCs w:val="24"/>
        </w:rPr>
        <w:t>Utvrđuje se da odredba člana 28a Zakona o penzijskom i invalidskom osiguranju ("Službeni glasnik RS", br. 34/03, 64/04 - Odluka US, 84/04 - dr. zakon, 85/05, 101/05 - dr. zakon, 63/06 - Odluka US, 5/09, 107/09, 30/10 - dr. zakon, 101/10, 93/12, 62/13, 108/13, 75/14, 142/14 i 73/18), u delu koji glasi: "Ako je umrli osiguranik ili umrli korisnik starosne, prevremene starosne penzije ili invalidske penzije u trenutku zaključenja braka navršio godine života iz člana 19. tačka 1) ovog zakona,", nije u saglasnosti sa Ustavom.</w:t>
      </w:r>
    </w:p>
    <w:p w:rsidR="009D40D5" w:rsidRDefault="009D40D5"/>
    <w:sectPr w:rsidR="009D40D5" w:rsidSect="009D40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C637F"/>
    <w:rsid w:val="001735AD"/>
    <w:rsid w:val="007C637F"/>
    <w:rsid w:val="009D40D5"/>
    <w:rsid w:val="00B14160"/>
    <w:rsid w:val="00FA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menanaslov">
    <w:name w:val="izmena_naslov"/>
    <w:basedOn w:val="Normal"/>
    <w:rsid w:val="007C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podnaslov">
    <w:name w:val="izmena_podnaslov"/>
    <w:basedOn w:val="Normal"/>
    <w:rsid w:val="007C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menatekst">
    <w:name w:val="izmena_tekst"/>
    <w:basedOn w:val="Normal"/>
    <w:rsid w:val="007C6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</cp:revision>
  <dcterms:created xsi:type="dcterms:W3CDTF">2019-08-30T10:11:00Z</dcterms:created>
  <dcterms:modified xsi:type="dcterms:W3CDTF">2019-08-30T10:13:00Z</dcterms:modified>
</cp:coreProperties>
</file>